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3"/>
        <w:keepNext w:val="0"/>
        <w:keepLines w:val="0"/>
        <w:spacing w:before="280" w:lineRule="auto"/>
        <w:jc w:val="center"/>
        <w:rPr>
          <w:rFonts w:ascii="Hind" w:cs="Hind" w:eastAsia="Hind" w:hAnsi="Hind"/>
          <w:b w:val="1"/>
          <w:color w:val="000000"/>
          <w:sz w:val="24"/>
          <w:szCs w:val="24"/>
        </w:rPr>
      </w:pPr>
      <w:bookmarkStart w:colFirst="0" w:colLast="0" w:name="_10yutli1954m" w:id="0"/>
      <w:bookmarkEnd w:id="0"/>
      <w:r w:rsidDel="00000000" w:rsidR="00000000" w:rsidRPr="00000000">
        <w:rPr>
          <w:rFonts w:ascii="Hind" w:cs="Hind" w:eastAsia="Hind" w:hAnsi="Hind"/>
          <w:b w:val="1"/>
          <w:color w:val="000000"/>
          <w:sz w:val="24"/>
          <w:szCs w:val="24"/>
          <w:rtl w:val="0"/>
        </w:rPr>
        <w:t xml:space="preserve">Cost Proposal Narrative</w:t>
      </w:r>
    </w:p>
    <w:p w:rsidR="00000000" w:rsidDel="00000000" w:rsidP="00000000" w:rsidRDefault="00000000" w:rsidRPr="00000000" w14:paraId="00000003">
      <w:pPr>
        <w:spacing w:after="240" w:before="240" w:lineRule="auto"/>
        <w:rPr>
          <w:rFonts w:ascii="Hind" w:cs="Hind" w:eastAsia="Hind" w:hAnsi="Hind"/>
        </w:rPr>
      </w:pPr>
      <w:r w:rsidDel="00000000" w:rsidR="00000000" w:rsidRPr="00000000">
        <w:rPr>
          <w:rFonts w:ascii="Hind" w:cs="Hind" w:eastAsia="Hind" w:hAnsi="Hind"/>
          <w:b w:val="1"/>
          <w:rtl w:val="0"/>
        </w:rPr>
        <w:t xml:space="preserve">Project Management:</w:t>
      </w:r>
      <w:r w:rsidDel="00000000" w:rsidR="00000000" w:rsidRPr="00000000">
        <w:rPr>
          <w:rFonts w:ascii="Hind" w:cs="Hind" w:eastAsia="Hind" w:hAnsi="Hind"/>
          <w:rtl w:val="0"/>
        </w:rPr>
        <w:br w:type="textWrapping"/>
      </w:r>
      <w:r w:rsidDel="00000000" w:rsidR="00000000" w:rsidRPr="00000000">
        <w:rPr>
          <w:rFonts w:ascii="Hind" w:cs="Hind" w:eastAsia="Hind" w:hAnsi="Hind"/>
          <w:rtl w:val="0"/>
        </w:rPr>
        <w:t xml:space="preserve">A minority owned business,Briljent, will oversee project management and handle all state reporting requirements. Project management fees are $40,000 and includes uploading all necessary materials and documentation to Notion, which will serve as the primary workspace for fellow interactions. The cost of acquiring Notion licenses for all fellows will be included after confirming the price. Briljent will also manage stakeholder and state-level reporting to ensure compliance and provide support for the recruitment and tracking of fellows. These activities are integral to maintaining transparency and tracking the project’s progress, as well as ensuring that all deliverables are met on time and within budget.</w:t>
      </w:r>
      <w:r w:rsidDel="00000000" w:rsidR="00000000" w:rsidRPr="00000000">
        <w:rPr>
          <w:rtl w:val="0"/>
        </w:rPr>
      </w:r>
    </w:p>
    <w:p w:rsidR="00000000" w:rsidDel="00000000" w:rsidP="00000000" w:rsidRDefault="00000000" w:rsidRPr="00000000" w14:paraId="00000004">
      <w:pPr>
        <w:spacing w:after="240" w:before="240" w:lineRule="auto"/>
        <w:rPr>
          <w:rFonts w:ascii="Hind" w:cs="Hind" w:eastAsia="Hind" w:hAnsi="Hind"/>
        </w:rPr>
      </w:pPr>
      <w:r w:rsidDel="00000000" w:rsidR="00000000" w:rsidRPr="00000000">
        <w:rPr>
          <w:rFonts w:ascii="Hind" w:cs="Hind" w:eastAsia="Hind" w:hAnsi="Hind"/>
          <w:b w:val="1"/>
          <w:rtl w:val="0"/>
        </w:rPr>
        <w:t xml:space="preserve">Professional Development:</w:t>
      </w:r>
      <w:r w:rsidDel="00000000" w:rsidR="00000000" w:rsidRPr="00000000">
        <w:rPr>
          <w:rFonts w:ascii="Hind" w:cs="Hind" w:eastAsia="Hind" w:hAnsi="Hind"/>
          <w:rtl w:val="0"/>
        </w:rPr>
        <w:br w:type="textWrapping"/>
        <w:t xml:space="preserve">The cost for professional development is projected at $200,000 and is based on an average daily rate of $5,000 for full-day (9 am-5 pm) professional development and technical assistance workshops. These workshops will address critical leadership and operational topics, such as "The Together Leader," "Adaptive Leadership," and "The Science of Learning," as well as essential technical and operational sessions like "Writing the Charter Application," "CSP Grant Preparation," "Political Mapping," "Authorizing and Boards," and "School Budget and Finance." This investment ensures fellows receive the comprehensive training necessary to successfully launch and sustain high-quality schools.</w:t>
      </w:r>
    </w:p>
    <w:p w:rsidR="00000000" w:rsidDel="00000000" w:rsidP="00000000" w:rsidRDefault="00000000" w:rsidRPr="00000000" w14:paraId="00000005">
      <w:pPr>
        <w:spacing w:after="240" w:before="240" w:lineRule="auto"/>
        <w:rPr>
          <w:rFonts w:ascii="Hind" w:cs="Hind" w:eastAsia="Hind" w:hAnsi="Hind"/>
        </w:rPr>
      </w:pPr>
      <w:r w:rsidDel="00000000" w:rsidR="00000000" w:rsidRPr="00000000">
        <w:rPr>
          <w:rFonts w:ascii="Hind" w:cs="Hind" w:eastAsia="Hind" w:hAnsi="Hind"/>
          <w:b w:val="1"/>
          <w:rtl w:val="0"/>
        </w:rPr>
        <w:t xml:space="preserve">Evaluation and Assessment:</w:t>
      </w:r>
      <w:r w:rsidDel="00000000" w:rsidR="00000000" w:rsidRPr="00000000">
        <w:rPr>
          <w:rFonts w:ascii="Hind" w:cs="Hind" w:eastAsia="Hind" w:hAnsi="Hind"/>
          <w:rtl w:val="0"/>
        </w:rPr>
        <w:br w:type="textWrapping"/>
        <w:t xml:space="preserve">To ensure ongoing evaluation of the program's success, Briljent will also handle data collection, analysis, and provide an external evaluation of the incubator’s programming. This component totals $40,000 across the two-year term of the grant. Regular assessments will ensure continuous improvement of the incubator and provide measurable insights into its effectiveness, allowing for data-driven adjustments.</w:t>
      </w:r>
    </w:p>
    <w:p w:rsidR="00000000" w:rsidDel="00000000" w:rsidP="00000000" w:rsidRDefault="00000000" w:rsidRPr="00000000" w14:paraId="00000006">
      <w:pPr>
        <w:spacing w:after="240" w:before="240" w:lineRule="auto"/>
        <w:rPr>
          <w:rFonts w:ascii="Hind" w:cs="Hind" w:eastAsia="Hind" w:hAnsi="Hind"/>
        </w:rPr>
      </w:pPr>
      <w:r w:rsidDel="00000000" w:rsidR="00000000" w:rsidRPr="00000000">
        <w:rPr>
          <w:rFonts w:ascii="Hind" w:cs="Hind" w:eastAsia="Hind" w:hAnsi="Hind"/>
          <w:b w:val="1"/>
          <w:rtl w:val="0"/>
        </w:rPr>
        <w:t xml:space="preserve">Logistics and Travel:</w:t>
      </w:r>
      <w:r w:rsidDel="00000000" w:rsidR="00000000" w:rsidRPr="00000000">
        <w:rPr>
          <w:rFonts w:ascii="Hind" w:cs="Hind" w:eastAsia="Hind" w:hAnsi="Hind"/>
          <w:rtl w:val="0"/>
        </w:rPr>
        <w:br w:type="textWrapping"/>
        <w:t xml:space="preserve">The logistics and travel budget of $37,000 annually covers costs associated with monthly cohort intercessions, during which all cohort members will convene in Indianapolis for a week. These expenses, estimated at $2,225 per fellow per intercession, cover travel, meals, and lodging. During these sessions, fellows will engage in professional development activities like stakeholder mapping and strategies for stakeholder engagement across Indiana. Additionally, they will visit successful charter schools in Indianapolis to gain practical insights into effective school operations. Logistics and Travel also includes the cost of attending national conferences like attending the National Association of Charter School Authorizers and the National Association of Public Charter Schools to gain a holistic view of the sector for fellows.</w:t>
      </w:r>
    </w:p>
    <w:p w:rsidR="00000000" w:rsidDel="00000000" w:rsidP="00000000" w:rsidRDefault="00000000" w:rsidRPr="00000000" w14:paraId="00000007">
      <w:pPr>
        <w:spacing w:after="240" w:before="240" w:lineRule="auto"/>
        <w:rPr>
          <w:rFonts w:ascii="Hind" w:cs="Hind" w:eastAsia="Hind" w:hAnsi="Hind"/>
        </w:rPr>
      </w:pPr>
      <w:r w:rsidDel="00000000" w:rsidR="00000000" w:rsidRPr="00000000">
        <w:rPr>
          <w:rFonts w:ascii="Hind" w:cs="Hind" w:eastAsia="Hind" w:hAnsi="Hind"/>
          <w:b w:val="1"/>
          <w:rtl w:val="0"/>
        </w:rPr>
        <w:t xml:space="preserve">Additional Activities:</w:t>
      </w:r>
      <w:r w:rsidDel="00000000" w:rsidR="00000000" w:rsidRPr="00000000">
        <w:rPr>
          <w:rFonts w:ascii="Hind" w:cs="Hind" w:eastAsia="Hind" w:hAnsi="Hind"/>
          <w:rtl w:val="0"/>
        </w:rPr>
        <w:br w:type="textWrapping"/>
        <w:t xml:space="preserve">To recruit top-tier talent, The Mind Trust offers competitive salaries and benefits packages for fellows. Brand New School Launch Fellows will receive an average salary of $100,000, with an additional 30% allocated for benefits. Replication School Fellows will receive similar support through collaboration with their charter school network. Additional activities include a budget of $2,000 per fellow for fellowship materials, $8,000 per fellow for reimbursements related to community engagement (reimbursements for meals, meetings, t-shirts, flyers, mailers, and on-the-ground community engagement work). The budget includes $1,500 per fellow for marketing materials for their schools. These proposed costs ensure that the fellowship remains competitive and attractive to talented, diverse leaders.</w:t>
      </w:r>
    </w:p>
    <w:p w:rsidR="00000000" w:rsidDel="00000000" w:rsidP="00000000" w:rsidRDefault="00000000" w:rsidRPr="00000000" w14:paraId="00000008">
      <w:pPr>
        <w:spacing w:after="240" w:before="240" w:lineRule="auto"/>
        <w:rPr>
          <w:rFonts w:ascii="Hind" w:cs="Hind" w:eastAsia="Hind" w:hAnsi="Hind"/>
        </w:rPr>
      </w:pPr>
      <w:r w:rsidDel="00000000" w:rsidR="00000000" w:rsidRPr="00000000">
        <w:rPr>
          <w:rFonts w:ascii="Hind" w:cs="Hind" w:eastAsia="Hind" w:hAnsi="Hind"/>
          <w:rtl w:val="0"/>
        </w:rPr>
        <w:t xml:space="preserve">The cost proposal includes $15,000 for recruiting fellows (as detailed in </w:t>
      </w:r>
      <w:r w:rsidDel="00000000" w:rsidR="00000000" w:rsidRPr="00000000">
        <w:rPr>
          <w:rFonts w:ascii="Hind" w:cs="Hind" w:eastAsia="Hind" w:hAnsi="Hind"/>
          <w:b w:val="1"/>
          <w:rtl w:val="0"/>
        </w:rPr>
        <w:t xml:space="preserve">Attachment F- Technical proposal</w:t>
      </w:r>
      <w:r w:rsidDel="00000000" w:rsidR="00000000" w:rsidRPr="00000000">
        <w:rPr>
          <w:rFonts w:ascii="Hind" w:cs="Hind" w:eastAsia="Hind" w:hAnsi="Hind"/>
          <w:rtl w:val="0"/>
        </w:rPr>
        <w:t xml:space="preserve">) and include activities such as social media campaigns, hosting events, traveling to neighboring cities for recruitment events, and attending local and national conferences including the National Charter School Conference to ensure TMT’s ability to recruit excellent fellows.  </w:t>
      </w:r>
    </w:p>
    <w:p w:rsidR="00000000" w:rsidDel="00000000" w:rsidP="00000000" w:rsidRDefault="00000000" w:rsidRPr="00000000" w14:paraId="00000009">
      <w:pPr>
        <w:spacing w:after="240" w:before="240" w:lineRule="auto"/>
        <w:rPr>
          <w:rFonts w:ascii="Hind" w:cs="Hind" w:eastAsia="Hind" w:hAnsi="Hind"/>
          <w:b w:val="1"/>
        </w:rPr>
      </w:pPr>
      <w:r w:rsidDel="00000000" w:rsidR="00000000" w:rsidRPr="00000000">
        <w:rPr>
          <w:rFonts w:ascii="Hind" w:cs="Hind" w:eastAsia="Hind" w:hAnsi="Hind"/>
          <w:b w:val="1"/>
          <w:rtl w:val="0"/>
        </w:rPr>
        <w:t xml:space="preserve">Conclusion</w:t>
      </w:r>
    </w:p>
    <w:p w:rsidR="00000000" w:rsidDel="00000000" w:rsidP="00000000" w:rsidRDefault="00000000" w:rsidRPr="00000000" w14:paraId="0000000A">
      <w:pPr>
        <w:spacing w:after="240" w:before="240" w:lineRule="auto"/>
        <w:rPr>
          <w:rFonts w:ascii="Hind" w:cs="Hind" w:eastAsia="Hind" w:hAnsi="Hind"/>
        </w:rPr>
      </w:pPr>
      <w:r w:rsidDel="00000000" w:rsidR="00000000" w:rsidRPr="00000000">
        <w:rPr>
          <w:rFonts w:ascii="Hind" w:cs="Hind" w:eastAsia="Hind" w:hAnsi="Hind"/>
          <w:rtl w:val="0"/>
        </w:rPr>
        <w:t xml:space="preserve">By investing in these comprehensive supports, the cost proposal guarantees that while IDOE resources may not fully cover all expenses incurred by TMT’s unique School Launch Fellowship, it will play a significant role in providing fellows across the state with the essential resources, training, and support needed for successful school launches.</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i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jc w:val="right"/>
      <w:rPr/>
    </w:pPr>
    <w:r w:rsidDel="00000000" w:rsidR="00000000" w:rsidRPr="00000000">
      <w:rPr>
        <w:rFonts w:ascii="Hind" w:cs="Hind" w:eastAsia="Hind" w:hAnsi="Hind"/>
        <w:i w:val="1"/>
        <w:rtl w:val="0"/>
      </w:rPr>
      <w:t xml:space="preserve">The Mind Trust: Cost Proposal Narrative        </w:t>
    </w:r>
    <w:r w:rsidDel="00000000" w:rsidR="00000000" w:rsidRPr="00000000">
      <w:rPr>
        <w:rtl w:val="0"/>
      </w:rPr>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jc w:val="center"/>
      <w:rPr/>
    </w:pPr>
    <w:r w:rsidDel="00000000" w:rsidR="00000000" w:rsidRPr="00000000">
      <w:rPr/>
      <w:drawing>
        <wp:inline distB="114300" distT="114300" distL="114300" distR="114300">
          <wp:extent cx="2038350" cy="6858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38350" cy="6858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ind-regular.ttf"/><Relationship Id="rId2" Type="http://schemas.openxmlformats.org/officeDocument/2006/relationships/font" Target="fonts/Hind-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